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Către: Toți operatorii economici interesați</w:t>
      </w:r>
    </w:p>
    <w:p w:rsidR="00095413" w:rsidRPr="00095413" w:rsidRDefault="00095413" w:rsidP="00095413">
      <w:pPr>
        <w:spacing w:before="160" w:after="60" w:line="264" w:lineRule="auto"/>
        <w:jc w:val="center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INVITAȚIE DE PARTICIPARE nr. 4895/09.10.2026</w:t>
      </w:r>
    </w:p>
    <w:p w:rsidR="00095413" w:rsidRPr="00095413" w:rsidRDefault="00095413" w:rsidP="00095413">
      <w:pPr>
        <w:spacing w:after="60" w:line="264" w:lineRule="auto"/>
        <w:jc w:val="center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privind achiziția de „SA4.1. Servicii pentru organizarea de evenimente” în cadrul proiectului „Vizantea – Satul cu bunici” – SMIS 348462</w:t>
      </w:r>
    </w:p>
    <w:p w:rsidR="00095413" w:rsidRPr="00095413" w:rsidRDefault="00095413" w:rsidP="00095413">
      <w:pPr>
        <w:spacing w:after="4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Cod CPV: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79952000-2 – Servicii de organizare de evenimente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Denumirea autorității contractante: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COMUNA VIZANTEA-LIVEZI, cod de identificare fiscală 4499621, cu sediul în Str. Primăriei nr. 1, comuna Vizantea-Livezi, județul Vrancea, cod poștal 627441, telefon 0762958492, poștă electronică primaria_vizantealivezi@yahoo.com, www.vizantealivezi.ro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Obiectul contractului: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Organizarea a 36 de evenimente comunitare dedicate persoanelor vârstnice din grupul țintă, în vederea implementării subactivității SA4.1 a proiectului „Vizantea – Satul cu bunici” – SMIS 348462. Detalierea cerințelor se regăsește în Caietul de sarcini.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Pentru întocmirea ofertei se vor avea în vedere: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a) prevederile contractului de finanțare și ale anexelor acestuia; b) Ghidul Solicitantului – Condiții specifice apelului PIDS/632/PIDS_P6/OP4/ESO4.11/PIDS_A26; c) obiectivele proiectului.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Durata contractului: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De la semnare până la 31.12.2029; câte un eveniment pe lună.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Valoarea totală estimată: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323.914,80 lei fără TVA (preț unitar mediu 8.997,63 lei fără TVA/eveniment).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Criteriul de atribuire: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 xml:space="preserve">Contractul va fi atribuit ofertantului clasat pe primul loc în urma aplicării criteriului „prețul cel mai scăzut” (preț unitar/eveniment × 36), dintre ofertele admisibile (ofertantul îndeplinește cerințele de calificare, iar propunerea tehnică și cea financiară respectă cerințele </w:t>
      </w:r>
      <w:r w:rsidRPr="00095413">
        <w:rPr>
          <w:rFonts w:ascii="Trebuchet MS" w:eastAsia="Times New Roman" w:hAnsi="Trebuchet MS" w:cs="Arial"/>
          <w:noProof/>
          <w:lang w:val="ro-RO"/>
        </w:rPr>
        <w:lastRenderedPageBreak/>
        <w:t>documentației). La preț egal, se solicită ofertanților o nouă propunere financiară. Contractul se poate atribui și dacă se primește o singură ofertă admisibilă.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Procedura aplicată: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Procedură proprie – art. 68 alin. (1) lit. h) și art. 111 din Legea nr. 98/2016; Procedura proprie pentru atribuirea contractelor de servicii sociale și alte servicii specifice prevăzute în Anexa nr. 2 la Legea nr. 98/2016.</w:t>
      </w:r>
    </w:p>
    <w:p w:rsidR="00095413" w:rsidRPr="00095413" w:rsidRDefault="00095413" w:rsidP="00095413">
      <w:pPr>
        <w:keepNext/>
        <w:spacing w:before="120" w:after="6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CONDIȚII DE PARTICIPARE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Ofertanții depun, împreună cu formularele puse la dispoziție de autoritatea contractantă, propunerea tehnică și financiară, precum și următoarele documente de calificare: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1. Societăți comerciale: certificat constatator emis de ONRC, din care să rezulte că obiectul de activitate corespunde organizării de evenimente și că ofertantul nu se află în insolvență, faliment sau dizolvare. ONG-uri: certificat de înscriere în Registrul asociațiilor și fundațiilor, hotărâre judecătorească de înființare, statut actualizat, din care să rezulte că organizația are ca scop sau activitate organizarea de evenimente/activități culturale, recreative sau sociale, și documente care atestă că nu se află în insolvență sau dizolvare.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2. Declarație privind beneficiarul real (F9), însoțită de copia actului de identitate al beneficiarului real, în vederea verificării conflictului de interese.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3. Formularele F1–F10 completate și semnate, propunerea tehnică (F3) și propunerea financiară (F4 și anexa).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Documentele justificative ale declarațiilor pe propria răspundere se solicită ofertantului clasat pe primul loc, înainte de atribuire. Nedepunerea documentelor solicitate atrage respingerea ofertei.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Garanția de participare: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Nu este cazul.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Garanția de bună execuție: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Nu este cazul.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lastRenderedPageBreak/>
        <w:t>Perioada de valabilitate a ofertei: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60 de zile de la data-limită de depunere a ofertelor.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Data-limită de depunere a ofertelor: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19.10.2026, ora 16:00, la adresa de e-mail primaria_vizantealivezi@yahoo.com (documente semnate electronic sau scanate după original semnat) sau la registratura Primăriei Comunei Vizantea-Livezi, Str. Primăriei nr. 1, comuna Vizantea-Livezi, județul Vrancea, cod poștal 627441, în plic închis, cu mențiunea „Ofertă – SA4.1. Servicii pentru organizarea de evenimente – SMIS 348462”. Ofertele primite după termen nu se deschid.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Deschiderea ofertelor: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20.10.2026, ora 10:00, la sediul Primăriei.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Clarificări: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Operatorii economici pot solicita clarificări până la 14.10.2026, ora 12:00, la primaria_vizantealivezi@yahoo.com. Autoritatea contractantă răspunde în cel mult 2 zile lucrătoare și publică răspunsurile pe www.vizantealivezi.ro, fără a dezvălui identitatea solicitantului, cel târziu la 16.10.2026, ora 12:00. Solicitările transmise după termen nu vor fi luate în considerare.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Comunicarea rezultatului și contestații: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Rezultatul se comunică tuturor ofertanților în cel mult 3 zile lucrătoare de la aprobarea raportului. Contractul se semnează nu mai devreme de 6 zile de la comunicare. Actele autorității contractante pot fi contestate în condițiile Legii nr. 101/2016.</w:t>
      </w:r>
    </w:p>
    <w:p w:rsidR="00095413" w:rsidRPr="00095413" w:rsidRDefault="00095413" w:rsidP="00095413">
      <w:pPr>
        <w:spacing w:after="2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Persoana de contact: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>Ghiță Mădălina – expert achizitii publice; e-mail primaria_vizantealivezi@yahoo.com; telefon 0237264281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noProof/>
          <w:lang w:val="ro-RO"/>
        </w:rPr>
        <w:t xml:space="preserve">Persoane cu funcții de decizie în cadrul autorității contractante: Olariu Ciprian – primar; Berdei Cristinel – viceprimar; Sandu Claudia-Mădălina – secretar general al comunei și manager de proiect, persoană de contact; Rusu Olga – inspector contabil, expert financiar în proiect; Ghiță Mădălina – consilier cu atribuții în achiziții publice, expert achiziții publice în proiect; Călugăroiu </w:t>
      </w:r>
      <w:r w:rsidRPr="00095413">
        <w:rPr>
          <w:rFonts w:ascii="Trebuchet MS" w:eastAsia="Times New Roman" w:hAnsi="Trebuchet MS" w:cs="Arial"/>
          <w:noProof/>
          <w:lang w:val="ro-RO"/>
        </w:rPr>
        <w:lastRenderedPageBreak/>
        <w:t>Daniela – coordonator servicii sociale; consilieri locali: Mărașteanu Fănică, Imbrea Adrian, Păun Dumitru, Telegaru Vasile, Panaite Gicu, Bîznă Mariana, Patulea Gheorghița, Călugăroiu Mirela, Roșioru Gheorghe, Purcel Gelu, Rusen Liliana; membrii comisiei de evaluare și recepție: Ghiță Mădălina (președinte), Călugăroiu Daniela, Holbia Denisa-Georgiana(membri), Moroș Fănică (membru de rezervă).</w:t>
      </w:r>
    </w:p>
    <w:p w:rsidR="00095413" w:rsidRPr="00095413" w:rsidRDefault="00095413" w:rsidP="00095413">
      <w:pPr>
        <w:spacing w:after="80" w:line="264" w:lineRule="auto"/>
        <w:jc w:val="both"/>
        <w:rPr>
          <w:rFonts w:ascii="Trebuchet MS" w:eastAsia="Times New Roman" w:hAnsi="Trebuchet MS" w:cs="Arial"/>
          <w:b/>
          <w:bCs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Anexe: Caiet de sarcini; Formulare F1–F10; Model de contract; Lista persoanelor cu funcții de decizie.</w:t>
      </w:r>
    </w:p>
    <w:p w:rsidR="00095413" w:rsidRPr="00095413" w:rsidRDefault="00095413" w:rsidP="00095413">
      <w:pPr>
        <w:spacing w:after="80" w:line="264" w:lineRule="auto"/>
        <w:jc w:val="center"/>
        <w:rPr>
          <w:rFonts w:ascii="Trebuchet MS" w:eastAsia="Times New Roman" w:hAnsi="Trebuchet MS" w:cs="Arial"/>
          <w:b/>
          <w:bCs/>
          <w:noProof/>
          <w:lang w:val="ro-RO"/>
        </w:rPr>
      </w:pPr>
    </w:p>
    <w:p w:rsidR="00095413" w:rsidRPr="00095413" w:rsidRDefault="00095413" w:rsidP="00095413">
      <w:pPr>
        <w:spacing w:after="80" w:line="264" w:lineRule="auto"/>
        <w:jc w:val="center"/>
        <w:rPr>
          <w:rFonts w:ascii="Trebuchet MS" w:eastAsia="Times New Roman" w:hAnsi="Trebuchet MS" w:cs="Arial"/>
          <w:b/>
          <w:bCs/>
          <w:noProof/>
          <w:lang w:val="ro-RO"/>
        </w:rPr>
      </w:pPr>
    </w:p>
    <w:p w:rsidR="00095413" w:rsidRPr="00095413" w:rsidRDefault="00095413" w:rsidP="00095413">
      <w:pPr>
        <w:spacing w:after="80" w:line="264" w:lineRule="auto"/>
        <w:jc w:val="center"/>
        <w:rPr>
          <w:rFonts w:ascii="Trebuchet MS" w:eastAsia="Times New Roman" w:hAnsi="Trebuchet MS" w:cs="Arial"/>
          <w:b/>
          <w:bCs/>
          <w:noProof/>
          <w:lang w:val="ro-RO"/>
        </w:rPr>
      </w:pPr>
    </w:p>
    <w:p w:rsidR="00095413" w:rsidRPr="00095413" w:rsidRDefault="00095413" w:rsidP="00095413">
      <w:pPr>
        <w:spacing w:after="80" w:line="264" w:lineRule="auto"/>
        <w:jc w:val="center"/>
        <w:rPr>
          <w:rFonts w:ascii="Trebuchet MS" w:eastAsia="Times New Roman" w:hAnsi="Trebuchet MS" w:cs="Arial"/>
          <w:b/>
          <w:bCs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Primar</w:t>
      </w:r>
    </w:p>
    <w:p w:rsidR="00095413" w:rsidRPr="00095413" w:rsidRDefault="00095413" w:rsidP="00095413">
      <w:pPr>
        <w:spacing w:after="80" w:line="264" w:lineRule="auto"/>
        <w:jc w:val="center"/>
        <w:rPr>
          <w:rFonts w:ascii="Trebuchet MS" w:eastAsia="Times New Roman" w:hAnsi="Trebuchet MS" w:cs="Times New Roman"/>
          <w:noProof/>
          <w:lang w:val="ro-RO"/>
        </w:rPr>
      </w:pPr>
      <w:r w:rsidRPr="00095413">
        <w:rPr>
          <w:rFonts w:ascii="Trebuchet MS" w:eastAsia="Times New Roman" w:hAnsi="Trebuchet MS" w:cs="Arial"/>
          <w:b/>
          <w:bCs/>
          <w:noProof/>
          <w:lang w:val="ro-RO"/>
        </w:rPr>
        <w:t>Olariu Ciprian</w:t>
      </w:r>
    </w:p>
    <w:p w:rsidR="00E92525" w:rsidRDefault="00E92525">
      <w:bookmarkStart w:id="0" w:name="_GoBack"/>
      <w:bookmarkEnd w:id="0"/>
    </w:p>
    <w:sectPr w:rsidR="00E92525" w:rsidSect="0027527E">
      <w:headerReference w:type="default" r:id="rId5"/>
      <w:footerReference w:type="default" r:id="rId6"/>
      <w:pgSz w:w="12240" w:h="15840"/>
      <w:pgMar w:top="630" w:right="117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5FB" w:rsidRDefault="00095413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:rsidR="000D35FB" w:rsidRDefault="00095413">
    <w:pPr>
      <w:pStyle w:val="Subsol"/>
    </w:pPr>
    <w:r w:rsidRPr="00F65AD0">
      <w:rPr>
        <w:lang w:val="en-US"/>
      </w:rPr>
      <w:drawing>
        <wp:anchor distT="0" distB="0" distL="114300" distR="114300" simplePos="0" relativeHeight="251659264" behindDoc="1" locked="0" layoutInCell="1" allowOverlap="1" wp14:anchorId="002478CD" wp14:editId="123AF497">
          <wp:simplePos x="0" y="0"/>
          <wp:positionH relativeFrom="column">
            <wp:posOffset>1833245</wp:posOffset>
          </wp:positionH>
          <wp:positionV relativeFrom="paragraph">
            <wp:posOffset>704850</wp:posOffset>
          </wp:positionV>
          <wp:extent cx="2857500" cy="688109"/>
          <wp:effectExtent l="0" t="0" r="0" b="0"/>
          <wp:wrapTight wrapText="bothSides">
            <wp:wrapPolygon edited="0">
              <wp:start x="1440" y="2393"/>
              <wp:lineTo x="0" y="6582"/>
              <wp:lineTo x="0" y="16155"/>
              <wp:lineTo x="2016" y="17950"/>
              <wp:lineTo x="5616" y="19147"/>
              <wp:lineTo x="20880" y="19147"/>
              <wp:lineTo x="21312" y="14360"/>
              <wp:lineTo x="20160" y="13762"/>
              <wp:lineTo x="13248" y="13163"/>
              <wp:lineTo x="13248" y="4787"/>
              <wp:lineTo x="3888" y="2393"/>
              <wp:lineTo x="1440" y="2393"/>
            </wp:wrapPolygon>
          </wp:wrapTight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6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AD0" w:rsidRDefault="00095413" w:rsidP="00F65AD0">
    <w:pPr>
      <w:pStyle w:val="Antet"/>
      <w:ind w:left="-426"/>
    </w:pPr>
    <w:r w:rsidRPr="006239A7">
      <w:rPr>
        <w:rFonts w:ascii="Calibri" w:eastAsia="Calibri" w:hAnsi="Calibri"/>
        <w:noProof w:val="0"/>
        <w:sz w:val="22"/>
        <w:szCs w:val="22"/>
        <w:lang w:val="en-US"/>
      </w:rPr>
      <w:t xml:space="preserve">           </w:t>
    </w:r>
    <w:r>
      <w:rPr>
        <w:lang w:val="en-US"/>
      </w:rPr>
      <w:drawing>
        <wp:inline distT="0" distB="0" distL="0" distR="0" wp14:anchorId="1AFF5073" wp14:editId="4FBE1CED">
          <wp:extent cx="6196013" cy="777306"/>
          <wp:effectExtent l="0" t="0" r="0" b="3810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0319" cy="780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65AD0" w:rsidRPr="00C52A93" w:rsidRDefault="00095413" w:rsidP="00F65A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rFonts w:ascii="Trebuchet MS" w:eastAsia="Arial" w:hAnsi="Trebuchet MS" w:cs="Arial"/>
        <w:color w:val="002060"/>
        <w:sz w:val="16"/>
        <w:szCs w:val="16"/>
        <w:lang w:val="pt-BR"/>
      </w:rPr>
    </w:pPr>
    <w:r w:rsidRPr="00C52A93">
      <w:rPr>
        <w:rFonts w:ascii="Trebuchet MS" w:eastAsia="Arial" w:hAnsi="Trebuchet MS" w:cs="Arial"/>
        <w:color w:val="002060"/>
        <w:sz w:val="16"/>
        <w:szCs w:val="16"/>
      </w:rPr>
      <w:t>P</w:t>
    </w:r>
    <w:r w:rsidRPr="00C52A93">
      <w:rPr>
        <w:rFonts w:ascii="Trebuchet MS" w:eastAsia="Arial" w:hAnsi="Trebuchet MS" w:cs="Arial"/>
        <w:color w:val="002060"/>
        <w:sz w:val="16"/>
        <w:szCs w:val="16"/>
        <w:lang w:val="pt-BR"/>
      </w:rPr>
      <w:t xml:space="preserve">rogram: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Programul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Operațional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Incluziune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Demnitate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Socială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2021-2027</w:t>
    </w:r>
  </w:p>
  <w:p w:rsidR="00F65AD0" w:rsidRPr="00C52A93" w:rsidRDefault="00095413" w:rsidP="00F65A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rFonts w:ascii="Trebuchet MS" w:eastAsia="Arial" w:hAnsi="Trebuchet MS" w:cs="Arial"/>
        <w:color w:val="002060"/>
        <w:sz w:val="16"/>
        <w:szCs w:val="16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Prioritate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: P6.Servicii de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suport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pentru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persoane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vârstnice</w:t>
    </w:r>
    <w:proofErr w:type="spellEnd"/>
  </w:p>
  <w:p w:rsidR="00F65AD0" w:rsidRPr="00C52A93" w:rsidRDefault="00095413" w:rsidP="00F65A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rFonts w:ascii="Trebuchet MS" w:eastAsia="Arial" w:hAnsi="Trebuchet MS" w:cs="Arial"/>
        <w:color w:val="002060"/>
        <w:sz w:val="16"/>
        <w:szCs w:val="16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Obiectiv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specific: ESO4.11. „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Lărgirea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accesului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egal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în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timp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util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la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servicii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de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calitate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sustenabile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la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prețuri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accesibile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inclusiv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servicii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care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promovează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accesul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la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locuințe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îngrijire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orientată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către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persoane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inclusiv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asistență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medicală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Modernizarea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sistemelor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de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protecție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socială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inclusiv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promovarea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accesului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la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protecție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socială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acordând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o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ate</w:t>
    </w:r>
    <w:r w:rsidRPr="00C52A93">
      <w:rPr>
        <w:rFonts w:ascii="Trebuchet MS" w:eastAsia="Arial" w:hAnsi="Trebuchet MS" w:cs="Arial"/>
        <w:color w:val="002060"/>
        <w:sz w:val="16"/>
        <w:szCs w:val="16"/>
      </w:rPr>
      <w:t>nție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deosebită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copiilor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grupurilor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defavorizate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Îmbunătățirea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accesibilității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inclusiv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pentru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persoanele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cu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dizabilități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precum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a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eficacității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rezilienței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sistemelor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de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sănătate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a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serviciilor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de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îngrijire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termen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lung”</w:t>
    </w:r>
  </w:p>
  <w:p w:rsidR="00F65AD0" w:rsidRPr="00C52A93" w:rsidRDefault="00095413" w:rsidP="00F65A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rFonts w:ascii="Trebuchet MS" w:eastAsia="Arial" w:hAnsi="Trebuchet MS" w:cs="Arial"/>
        <w:color w:val="002060"/>
        <w:sz w:val="16"/>
        <w:szCs w:val="16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</w:rPr>
      <w:t>Proiect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 xml:space="preserve"> „</w:t>
    </w:r>
    <w:proofErr w:type="spellStart"/>
    <w:r w:rsidRPr="00F8506A">
      <w:rPr>
        <w:rFonts w:ascii="Trebuchet MS" w:eastAsia="Arial" w:hAnsi="Trebuchet MS" w:cs="Arial"/>
        <w:b/>
        <w:bCs/>
        <w:color w:val="002060"/>
        <w:sz w:val="16"/>
        <w:szCs w:val="16"/>
      </w:rPr>
      <w:t>Vizantea</w:t>
    </w:r>
    <w:proofErr w:type="spellEnd"/>
    <w:r w:rsidRPr="00F8506A">
      <w:rPr>
        <w:rFonts w:ascii="Trebuchet MS" w:eastAsia="Arial" w:hAnsi="Trebuchet MS" w:cs="Arial"/>
        <w:b/>
        <w:bCs/>
        <w:color w:val="002060"/>
        <w:sz w:val="16"/>
        <w:szCs w:val="16"/>
      </w:rPr>
      <w:t xml:space="preserve"> – </w:t>
    </w:r>
    <w:proofErr w:type="spellStart"/>
    <w:r w:rsidRPr="00F8506A">
      <w:rPr>
        <w:rFonts w:ascii="Trebuchet MS" w:eastAsia="Arial" w:hAnsi="Trebuchet MS" w:cs="Arial"/>
        <w:b/>
        <w:bCs/>
        <w:color w:val="002060"/>
        <w:sz w:val="16"/>
        <w:szCs w:val="16"/>
      </w:rPr>
      <w:t>S</w:t>
    </w:r>
    <w:r w:rsidRPr="00F8506A">
      <w:rPr>
        <w:rFonts w:ascii="Trebuchet MS" w:eastAsia="Arial" w:hAnsi="Trebuchet MS" w:cs="Arial"/>
        <w:b/>
        <w:bCs/>
        <w:color w:val="002060"/>
        <w:sz w:val="16"/>
        <w:szCs w:val="16"/>
      </w:rPr>
      <w:t>atul</w:t>
    </w:r>
    <w:proofErr w:type="spellEnd"/>
    <w:r w:rsidRPr="00F8506A">
      <w:rPr>
        <w:rFonts w:ascii="Trebuchet MS" w:eastAsia="Arial" w:hAnsi="Trebuchet MS" w:cs="Arial"/>
        <w:b/>
        <w:bCs/>
        <w:color w:val="002060"/>
        <w:sz w:val="16"/>
        <w:szCs w:val="16"/>
      </w:rPr>
      <w:t xml:space="preserve"> cu </w:t>
    </w:r>
    <w:proofErr w:type="spellStart"/>
    <w:r w:rsidRPr="00F8506A">
      <w:rPr>
        <w:rFonts w:ascii="Trebuchet MS" w:eastAsia="Arial" w:hAnsi="Trebuchet MS" w:cs="Arial"/>
        <w:b/>
        <w:bCs/>
        <w:color w:val="002060"/>
        <w:sz w:val="16"/>
        <w:szCs w:val="16"/>
      </w:rPr>
      <w:t>bunici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</w:rPr>
      <w:t>”</w:t>
    </w:r>
  </w:p>
  <w:p w:rsidR="00F65AD0" w:rsidRPr="00C52A93" w:rsidRDefault="00095413" w:rsidP="00F65A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rFonts w:ascii="Trebuchet MS" w:eastAsia="Arial" w:hAnsi="Trebuchet MS" w:cs="Arial"/>
        <w:bCs/>
        <w:color w:val="002060"/>
        <w:sz w:val="16"/>
        <w:szCs w:val="16"/>
      </w:rPr>
    </w:pPr>
    <w:r w:rsidRPr="00C52A93">
      <w:rPr>
        <w:rFonts w:ascii="Trebuchet MS" w:eastAsia="Arial" w:hAnsi="Trebuchet MS" w:cs="Arial"/>
        <w:color w:val="002060"/>
        <w:sz w:val="16"/>
        <w:szCs w:val="16"/>
      </w:rPr>
      <w:t>COD SMIS:</w:t>
    </w:r>
    <w:r w:rsidRPr="00C52A93">
      <w:rPr>
        <w:rFonts w:ascii="Trebuchet MS" w:eastAsia="Arial" w:hAnsi="Trebuchet MS" w:cs="Arial"/>
        <w:b/>
        <w:color w:val="002060"/>
        <w:sz w:val="16"/>
        <w:szCs w:val="16"/>
      </w:rPr>
      <w:t xml:space="preserve"> </w:t>
    </w:r>
    <w:r w:rsidRPr="00F8506A">
      <w:rPr>
        <w:rFonts w:ascii="Trebuchet MS" w:eastAsia="Arial" w:hAnsi="Trebuchet MS" w:cs="Arial"/>
        <w:bCs/>
        <w:color w:val="002060"/>
        <w:sz w:val="16"/>
        <w:szCs w:val="16"/>
      </w:rPr>
      <w:t>348462</w:t>
    </w:r>
  </w:p>
  <w:p w:rsidR="000D35FB" w:rsidRPr="006239A7" w:rsidRDefault="00095413" w:rsidP="006239A7">
    <w:pPr>
      <w:tabs>
        <w:tab w:val="center" w:pos="4536"/>
        <w:tab w:val="right" w:pos="9072"/>
      </w:tabs>
      <w:rPr>
        <w:rFonts w:ascii="Calibri" w:eastAsia="Calibri" w:hAnsi="Calibri"/>
      </w:rPr>
    </w:pPr>
    <w:r w:rsidRPr="006239A7">
      <w:rPr>
        <w:rFonts w:ascii="Calibri" w:eastAsia="Calibri" w:hAnsi="Calibri"/>
      </w:rPr>
      <w:t xml:space="preserve">                                                                        </w:t>
    </w:r>
  </w:p>
  <w:p w:rsidR="000D35FB" w:rsidRPr="006239A7" w:rsidRDefault="00095413" w:rsidP="006239A7">
    <w:pPr>
      <w:tabs>
        <w:tab w:val="center" w:pos="4536"/>
        <w:tab w:val="right" w:pos="9072"/>
      </w:tabs>
      <w:rPr>
        <w:rFonts w:ascii="Calibri" w:eastAsia="Calibri" w:hAnsi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413"/>
    <w:rsid w:val="00095413"/>
    <w:rsid w:val="00E9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rsid w:val="0009541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095413"/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Antet">
    <w:name w:val="header"/>
    <w:aliases w:val="Char"/>
    <w:basedOn w:val="Normal"/>
    <w:link w:val="AntetCaracter"/>
    <w:uiPriority w:val="99"/>
    <w:unhideWhenUsed/>
    <w:rsid w:val="0009541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character" w:customStyle="1" w:styleId="AntetCaracter">
    <w:name w:val="Antet Caracter"/>
    <w:aliases w:val="Char Caracter"/>
    <w:basedOn w:val="Fontdeparagrafimplicit"/>
    <w:link w:val="Antet"/>
    <w:uiPriority w:val="99"/>
    <w:rsid w:val="00095413"/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95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954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unhideWhenUsed/>
    <w:rsid w:val="0009541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095413"/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Antet">
    <w:name w:val="header"/>
    <w:aliases w:val="Char"/>
    <w:basedOn w:val="Normal"/>
    <w:link w:val="AntetCaracter"/>
    <w:uiPriority w:val="99"/>
    <w:unhideWhenUsed/>
    <w:rsid w:val="0009541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character" w:customStyle="1" w:styleId="AntetCaracter">
    <w:name w:val="Antet Caracter"/>
    <w:aliases w:val="Char Caracter"/>
    <w:basedOn w:val="Fontdeparagrafimplicit"/>
    <w:link w:val="Antet"/>
    <w:uiPriority w:val="99"/>
    <w:rsid w:val="00095413"/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95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954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2026-10-14T07:22:00Z</dcterms:created>
  <dcterms:modified xsi:type="dcterms:W3CDTF">2026-10-14T07:23:00Z</dcterms:modified>
</cp:coreProperties>
</file>